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Checklist: Use Case 29 – Quarterly Admin Audit Routine</w:t>
      </w:r>
    </w:p>
    <w:p>
      <w:r>
        <w:t>☐ Review all active agent roles for alignment with responsibilities.</w:t>
      </w:r>
    </w:p>
    <w:p>
      <w:r>
        <w:t>☐ Identify orphaned assets: no assigned user, group, or location.</w:t>
      </w:r>
    </w:p>
    <w:p>
      <w:r>
        <w:t>☐ Check for service catalog items not requested in the last 6 months.</w:t>
      </w:r>
    </w:p>
    <w:p>
      <w:r>
        <w:t>☐ Identify knowledge base articles older than 12 months.</w:t>
      </w:r>
    </w:p>
    <w:p>
      <w:r>
        <w:t>☐ Verify contracts with missing attachments or metadata.</w:t>
      </w:r>
    </w:p>
    <w:p>
      <w:r>
        <w:t>☐ Export audit data from Saved Views and review findings.</w:t>
      </w:r>
    </w:p>
    <w:p>
      <w:r>
        <w:t>☐ Log outcomes and follow-up actions in an audit tracker.</w:t>
      </w:r>
    </w:p>
    <w:p>
      <w:r>
        <w:t>☐ Share results with governance or platform owner for remediation planning.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